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BEST-AC Longitudinal Impact Assessment - Case Study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