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All Publications </w:t>
      </w:r>
    </w:p>
    <w:p>
      <w:pPr>
        <w:spacing w:before="240" w:after="240"/>
      </w:pPr>
      <w:r>
        <w:rPr>
          <w:i/>
          <w:iCs/>
        </w:rPr>
        <w:t>“We have found that if you provide proper evidence to back up your requests, the Government is ready to listen.”</w:t>
      </w:r>
      <w:r>
        <w:t xml:space="preserve"> — Christine Kilindu, Executive Director, Confederation of Tanzania Industries</w:t>
      </w:r>
    </w:p>
    <w:p>
      <w:pPr>
        <w:spacing w:before="240" w:after="240"/>
      </w:pPr>
      <w:r>
        <w:t>Research reports form an essential part of the advocacy process. Downloadable research reports and other useful publications are listed below. These have been used by private sector organisations in their dialogue with government.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