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Investment statistics </w:t>
      </w:r>
    </w:p>
    <w:p>
      <w:pPr>
        <w:spacing w:before="240" w:after="240"/>
      </w:pPr>
      <w:r>
        <w:t>These graphs are based on BEST-AC’s investments during Phase II (2008-2013), separately showing: total investments, investments in apex organisations, investments in non-apex organisations. These apex organisations are umbrella organisations with more general representation, more so than a focus on very specific markets. One example of an apex organisation is the Tanzania Private Sector Fund (TPSF).</w:t>
      </w:r>
    </w:p>
    <w:p>
      <w:pPr>
        <w:spacing w:before="240" w:after="240"/>
      </w:pPr>
      <w:r>
        <w:rPr>
          <w:strike w:val="0"/>
          <w:u w:val="none"/>
        </w:rPr>
        <w:drawing>
          <wp:inline>
            <wp:extent cx="8286750" cy="7153275"/>
            <wp:docPr id="100001" name="" descr="Agricultural-PSOs-interaction-with-ministries-departments-agencies-jan-2012-nov-2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5991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2867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