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Funding </w:t>
      </w:r>
    </w:p>
    <w:p>
      <w:pPr>
        <w:spacing w:before="240" w:after="240"/>
      </w:pPr>
      <w:r>
        <w:t>The name BEST-Dialogue stands for Business Environment Strengthening in Tanzania – Dialogue. Established in October 2004, BEST-Dialogue was formerly known as BEST-AC until the end of Phase II of the programme in June of 2014. BEST-Dialogue manages the Private Sector Advocacy (PSA) Fund and is responsible for its development and delivery. The PSA Fund is provided through grants from the government of Denmark (through Danish International Development Assistance, DANIDA). BEST-Dialogue is managed by COWI Denmark management consultants.</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