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Code of Ethics </w:t>
      </w:r>
    </w:p>
    <w:p>
      <w:pPr>
        <w:spacing w:before="240" w:after="240"/>
      </w:pPr>
      <w:r>
        <w:t>The following are links to the code of ethics documents for BEST-Dialogue:</w:t>
      </w:r>
    </w:p>
    <w:p>
      <w:pPr>
        <w:numPr>
          <w:ilvl w:val="0"/>
          <w:numId w:val="1"/>
        </w:numPr>
        <w:spacing w:before="240"/>
        <w:ind w:left="720" w:hanging="210"/>
        <w:jc w:val="left"/>
      </w:pPr>
      <w:r>
        <w:fldChar w:fldCharType="begin"/>
      </w:r>
      <w:r>
        <w:instrText xml:space="preserve"> HYPERLINK "http://www.best-dialogue.org/wp-content/uploads/Danish-Anti-Corruption-Policy-2011.pdf" </w:instrText>
      </w:r>
      <w:r>
        <w:fldChar w:fldCharType="separate"/>
      </w:r>
      <w:r>
        <w:rPr>
          <w:color w:val="0000EE"/>
          <w:u w:val="single" w:color="0000EE"/>
        </w:rPr>
        <w:t>Danish Anti-Corruption Policy 2011</w:t>
      </w:r>
      <w:r>
        <w:rPr>
          <w:color w:val="0000EE"/>
          <w:u w:val="single" w:color="0000EE"/>
        </w:rPr>
        <w:fldChar w:fldCharType="end"/>
      </w:r>
    </w:p>
    <w:p>
      <w:pPr>
        <w:numPr>
          <w:ilvl w:val="0"/>
          <w:numId w:val="1"/>
        </w:numPr>
        <w:spacing w:after="240"/>
        <w:ind w:left="720" w:hanging="210"/>
        <w:jc w:val="left"/>
      </w:pPr>
      <w:r>
        <w:fldChar w:fldCharType="begin"/>
      </w:r>
      <w:r>
        <w:instrText xml:space="preserve"> HYPERLINK "/code-of-ethics/best-dialogue-code-of-ethics/" </w:instrText>
      </w:r>
      <w:r>
        <w:fldChar w:fldCharType="separate"/>
      </w:r>
      <w:r>
        <w:rPr>
          <w:color w:val="0000EE"/>
          <w:u w:val="single" w:color="0000EE"/>
        </w:rPr>
        <w:t>BEST-Dialogue Code of Ethics</w:t>
      </w:r>
      <w:r>
        <w:rPr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