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7.8 -->
  <w:body>
    <w:p>
      <w:r>
        <w:t>Created in the cloud with Aspose.Words for Cloud. http://www.aspose.com/products/words/cloud</w:t>
      </w:r>
    </w:p>
    <w:p>
      <w:pPr>
        <w:pStyle w:val="Heading1"/>
        <w:keepNext w:val="0"/>
        <w:spacing w:before="0" w:after="322"/>
        <w:outlineLvl w:val="9"/>
        <w:rPr>
          <w:b/>
          <w:bCs/>
          <w:sz w:val="48"/>
          <w:szCs w:val="48"/>
        </w:rPr>
      </w:pPr>
      <w:r>
        <w:rPr>
          <w:rFonts w:ascii="Times New Roman" w:eastAsia="Times New Roman" w:hAnsi="Times New Roman" w:cs="Times New Roman"/>
          <w:i w:val="0"/>
        </w:rPr>
        <w:t xml:space="preserve">Investment statistics </w:t>
      </w:r>
    </w:p>
    <w:p>
      <w:pPr>
        <w:spacing w:before="240" w:after="240"/>
      </w:pPr>
      <w:r>
        <w:t>These graphs are based on BEST-AC’s investments during Phase II (2008-2013), separately showing: total investments, investments in apex organisations, investments in non-apex organisations. These apex organisations are umbrella organisations with more general representation, more so than a focus on very specific markets. One example of an apex organisation is the Tanzania Private Sector Fund (TPSF).</w:t>
      </w:r>
    </w:p>
    <w:p>
      <w:pPr>
        <w:spacing w:before="240" w:after="240"/>
      </w:pPr>
      <w:r>
        <w:rPr>
          <w:strike w:val="0"/>
          <w:u w:val="none"/>
        </w:rPr>
        <w:drawing>
          <wp:inline>
            <wp:extent cx="8286750" cy="7153275"/>
            <wp:docPr id="100001" name="" descr="Agricultural-PSOs-interaction-with-ministries-departments-agencies-jan-2012-nov-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5991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86750" cy="715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pict>
          <v:rect id="_x0000_i1025" style="width:468pt;height:1.5pt" o:hrpct="1000" o:hralign="center" o:hrstd="t" o:hr="t" filled="t" fillcolor="gray" stroked="f">
            <v:path strokeok="f"/>
          </v:rect>
        </w:pic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/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rFonts w:ascii="Times New Roman" w:eastAsia="Times New Roman" w:hAnsi="Times New Roman" w:cs="Times New Roman"/>
      <w:b/>
      <w:bCs/>
      <w:i w:val="0"/>
      <w:kern w:val="36"/>
      <w:sz w:val="48"/>
      <w:szCs w:val="48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rFonts w:ascii="Times New Roman" w:eastAsia="Times New Roman" w:hAnsi="Times New Roman" w:cs="Times New Roman"/>
      <w:b/>
      <w:bCs/>
      <w:i w:val="0"/>
      <w:iCs/>
      <w:sz w:val="36"/>
      <w:szCs w:val="36"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rFonts w:ascii="Times New Roman" w:eastAsia="Times New Roman" w:hAnsi="Times New Roman" w:cs="Times New Roman"/>
      <w:b/>
      <w:bCs/>
      <w:i w:val="0"/>
      <w:sz w:val="28"/>
      <w:szCs w:val="28"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i w:val="0"/>
      <w:sz w:val="24"/>
      <w:szCs w:val="24"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rFonts w:ascii="Times New Roman" w:eastAsia="Times New Roman" w:hAnsi="Times New Roman" w:cs="Times New Roman"/>
      <w:b/>
      <w:bCs/>
      <w:i w:val="0"/>
      <w:iCs/>
      <w:sz w:val="20"/>
      <w:szCs w:val="20"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rFonts w:ascii="Times New Roman" w:eastAsia="Times New Roman" w:hAnsi="Times New Roman" w:cs="Times New Roman"/>
      <w:b/>
      <w:bCs/>
      <w:i w:val="0"/>
      <w:sz w:val="16"/>
      <w:szCs w:val="16"/>
    </w:rPr>
  </w:style>
  <w:style w:type="character" w:default="1" w:styleId="DefaultParagraphFont">
    <w:name w:val="Default Paragraph Fon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